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="133" w:line="208" w:lineRule="auto"/>
        <w:ind w:left="52"/>
        <w:rPr>
          <w:rFonts w:ascii="仿宋" w:hAnsi="仿宋" w:eastAsia="仿宋" w:cs="仿宋"/>
          <w:sz w:val="31"/>
          <w:szCs w:val="31"/>
        </w:rPr>
      </w:pPr>
      <w:r>
        <w:rPr>
          <w:rFonts w:ascii="微软雅黑" w:hAnsi="微软雅黑" w:eastAsia="微软雅黑" w:cs="微软雅黑"/>
          <w:spacing w:val="-6"/>
          <w:sz w:val="31"/>
          <w:szCs w:val="31"/>
        </w:rPr>
        <w:t>附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 xml:space="preserve">件 </w:t>
      </w:r>
      <w:r>
        <w:rPr>
          <w:rFonts w:ascii="仿宋" w:hAnsi="仿宋" w:eastAsia="仿宋" w:cs="仿宋"/>
          <w:spacing w:val="-3"/>
          <w:sz w:val="31"/>
          <w:szCs w:val="31"/>
        </w:rPr>
        <w:t>5</w:t>
      </w:r>
    </w:p>
    <w:p>
      <w:pPr>
        <w:spacing w:line="396" w:lineRule="auto"/>
        <w:rPr>
          <w:rFonts w:ascii="Arial"/>
          <w:sz w:val="21"/>
        </w:rPr>
      </w:pPr>
    </w:p>
    <w:p>
      <w:pPr>
        <w:spacing w:before="185" w:line="215" w:lineRule="auto"/>
        <w:ind w:left="2050"/>
        <w:rPr>
          <w:rFonts w:ascii="微软雅黑" w:hAnsi="微软雅黑" w:eastAsia="微软雅黑" w:cs="微软雅黑"/>
          <w:sz w:val="43"/>
          <w:szCs w:val="43"/>
        </w:rPr>
      </w:pPr>
      <w:r>
        <w:rPr>
          <w:rFonts w:ascii="微软雅黑" w:hAnsi="微软雅黑" w:eastAsia="微软雅黑" w:cs="微软雅黑"/>
          <w:spacing w:val="10"/>
          <w:sz w:val="43"/>
          <w:szCs w:val="43"/>
        </w:rPr>
        <w:t>养</w:t>
      </w:r>
      <w:r>
        <w:rPr>
          <w:rFonts w:ascii="微软雅黑" w:hAnsi="微软雅黑" w:eastAsia="微软雅黑" w:cs="微软雅黑"/>
          <w:spacing w:val="6"/>
          <w:sz w:val="43"/>
          <w:szCs w:val="43"/>
        </w:rPr>
        <w:t>老</w:t>
      </w:r>
      <w:r>
        <w:rPr>
          <w:rFonts w:ascii="微软雅黑" w:hAnsi="微软雅黑" w:eastAsia="微软雅黑" w:cs="微软雅黑"/>
          <w:spacing w:val="5"/>
          <w:sz w:val="43"/>
          <w:szCs w:val="43"/>
        </w:rPr>
        <w:t>机构基本条件告知书</w:t>
      </w:r>
    </w:p>
    <w:p>
      <w:pPr>
        <w:spacing w:line="475" w:lineRule="auto"/>
        <w:rPr>
          <w:rFonts w:ascii="Arial"/>
          <w:sz w:val="21"/>
        </w:rPr>
      </w:pPr>
    </w:p>
    <w:p>
      <w:pPr>
        <w:spacing w:before="133" w:line="262" w:lineRule="auto"/>
        <w:ind w:left="53" w:right="23" w:firstLine="615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微软雅黑" w:hAnsi="微软雅黑" w:eastAsia="微软雅黑" w:cs="微软雅黑"/>
          <w:spacing w:val="10"/>
          <w:sz w:val="31"/>
          <w:szCs w:val="31"/>
        </w:rPr>
        <w:t>养</w:t>
      </w:r>
      <w:r>
        <w:rPr>
          <w:rFonts w:ascii="微软雅黑" w:hAnsi="微软雅黑" w:eastAsia="微软雅黑" w:cs="微软雅黑"/>
          <w:spacing w:val="5"/>
          <w:sz w:val="31"/>
          <w:szCs w:val="31"/>
        </w:rPr>
        <w:t>老机构应当依照《中华人民共和国老年人权益保障法》等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法律法规和标准规范的规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定开展服务活动，并符合下列基本条件：</w:t>
      </w:r>
    </w:p>
    <w:p>
      <w:pPr>
        <w:spacing w:before="9" w:line="261" w:lineRule="auto"/>
        <w:ind w:left="34" w:right="115" w:firstLine="652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19"/>
          <w:sz w:val="31"/>
          <w:szCs w:val="31"/>
        </w:rPr>
        <w:t>1</w:t>
      </w:r>
      <w:r>
        <w:rPr>
          <w:rFonts w:ascii="微软雅黑" w:hAnsi="微软雅黑" w:eastAsia="微软雅黑" w:cs="微软雅黑"/>
          <w:spacing w:val="-15"/>
          <w:sz w:val="31"/>
          <w:szCs w:val="31"/>
        </w:rPr>
        <w:t>． 应当符合《中华人民共和国建筑法》、《中华人民共和国消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4"/>
          <w:sz w:val="31"/>
          <w:szCs w:val="31"/>
        </w:rPr>
        <w:t>防</w:t>
      </w:r>
      <w:r>
        <w:rPr>
          <w:rFonts w:ascii="微软雅黑" w:hAnsi="微软雅黑" w:eastAsia="微软雅黑" w:cs="微软雅黑"/>
          <w:spacing w:val="-11"/>
          <w:sz w:val="31"/>
          <w:szCs w:val="31"/>
        </w:rPr>
        <w:t>法》、《无障碍环境建设条例》等法律法规，  以及《老年人照料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设施建</w:t>
      </w:r>
      <w:r>
        <w:rPr>
          <w:rFonts w:ascii="微软雅黑" w:hAnsi="微软雅黑" w:eastAsia="微软雅黑" w:cs="微软雅黑"/>
          <w:spacing w:val="-5"/>
          <w:sz w:val="31"/>
          <w:szCs w:val="31"/>
        </w:rPr>
        <w:t>筑设计标准》、《建筑设计防火规范》等国家标准或者行业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>标准规定的安</w:t>
      </w:r>
      <w:r>
        <w:rPr>
          <w:rFonts w:ascii="微软雅黑" w:hAnsi="微软雅黑" w:eastAsia="微软雅黑" w:cs="微软雅黑"/>
          <w:spacing w:val="-3"/>
          <w:sz w:val="31"/>
          <w:szCs w:val="31"/>
        </w:rPr>
        <w:t>全</w:t>
      </w:r>
      <w:r>
        <w:rPr>
          <w:rFonts w:ascii="微软雅黑" w:hAnsi="微软雅黑" w:eastAsia="微软雅黑" w:cs="微软雅黑"/>
          <w:spacing w:val="-2"/>
          <w:sz w:val="31"/>
          <w:szCs w:val="31"/>
        </w:rPr>
        <w:t>生产条件，  并符合环境影响评价分类管理要求。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依</w:t>
      </w:r>
      <w:r>
        <w:rPr>
          <w:rFonts w:ascii="微软雅黑" w:hAnsi="微软雅黑" w:eastAsia="微软雅黑" w:cs="微软雅黑"/>
          <w:spacing w:val="-9"/>
          <w:sz w:val="31"/>
          <w:szCs w:val="31"/>
        </w:rPr>
        <w:t>照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 xml:space="preserve">《中华人民共和国安全生产法》第 </w:t>
      </w:r>
      <w:r>
        <w:rPr>
          <w:rFonts w:ascii="仿宋" w:hAnsi="仿宋" w:eastAsia="仿宋" w:cs="仿宋"/>
          <w:spacing w:val="-8"/>
          <w:sz w:val="31"/>
          <w:szCs w:val="31"/>
        </w:rPr>
        <w:t xml:space="preserve">17 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条规定，  不具备安全生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>产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条件的，  不得从事经营服务活动。</w:t>
      </w:r>
    </w:p>
    <w:p>
      <w:pPr>
        <w:spacing w:before="2" w:line="206" w:lineRule="auto"/>
        <w:ind w:left="666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8"/>
          <w:sz w:val="31"/>
          <w:szCs w:val="31"/>
        </w:rPr>
        <w:t>2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4"/>
          <w:sz w:val="31"/>
          <w:szCs w:val="31"/>
        </w:rPr>
        <w:t xml:space="preserve"> 应当符合《养老机构管理办法》规章。</w:t>
      </w:r>
    </w:p>
    <w:p>
      <w:pPr>
        <w:spacing w:before="120" w:line="262" w:lineRule="auto"/>
        <w:ind w:firstLine="66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16"/>
          <w:sz w:val="31"/>
          <w:szCs w:val="31"/>
        </w:rPr>
        <w:t>3</w:t>
      </w:r>
      <w:r>
        <w:rPr>
          <w:rFonts w:ascii="微软雅黑" w:hAnsi="微软雅黑" w:eastAsia="微软雅黑" w:cs="微软雅黑"/>
          <w:spacing w:val="-16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8"/>
          <w:sz w:val="31"/>
          <w:szCs w:val="31"/>
        </w:rPr>
        <w:t xml:space="preserve">  开展医疗卫生服务的，  应当符合《医疗机构管理条例》、</w:t>
      </w:r>
      <w:r>
        <w:rPr>
          <w:rFonts w:ascii="微软雅黑" w:hAnsi="微软雅黑" w:eastAsia="微软雅黑" w:cs="微软雅黑"/>
          <w:sz w:val="31"/>
          <w:szCs w:val="31"/>
        </w:rPr>
        <w:t xml:space="preserve"> 《医疗机构管理条例实施细则》等法规规章，  以及养老机构内设 </w:t>
      </w:r>
      <w:r>
        <w:rPr>
          <w:rFonts w:ascii="微软雅黑" w:hAnsi="微软雅黑" w:eastAsia="微软雅黑" w:cs="微软雅黑"/>
          <w:spacing w:val="9"/>
          <w:sz w:val="31"/>
          <w:szCs w:val="31"/>
        </w:rPr>
        <w:t>医</w:t>
      </w:r>
      <w:r>
        <w:rPr>
          <w:rFonts w:ascii="微软雅黑" w:hAnsi="微软雅黑" w:eastAsia="微软雅黑" w:cs="微软雅黑"/>
          <w:spacing w:val="7"/>
          <w:sz w:val="31"/>
          <w:szCs w:val="31"/>
        </w:rPr>
        <w:t>务室、护理站等设置标准。</w:t>
      </w:r>
    </w:p>
    <w:p>
      <w:pPr>
        <w:spacing w:before="3" w:line="261" w:lineRule="auto"/>
        <w:ind w:left="50" w:right="99" w:firstLine="611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20"/>
          <w:sz w:val="31"/>
          <w:szCs w:val="31"/>
        </w:rPr>
        <w:t>4</w:t>
      </w:r>
      <w:r>
        <w:rPr>
          <w:rFonts w:ascii="微软雅黑" w:hAnsi="微软雅黑" w:eastAsia="微软雅黑" w:cs="微软雅黑"/>
          <w:spacing w:val="-20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开展餐饮服务的，应当符合《中华人民共和国食品安全法》</w:t>
      </w:r>
      <w:r>
        <w:rPr>
          <w:rFonts w:ascii="微软雅黑" w:hAnsi="微软雅黑" w:eastAsia="微软雅黑" w:cs="微软雅黑"/>
          <w:sz w:val="31"/>
          <w:szCs w:val="31"/>
        </w:rPr>
        <w:t xml:space="preserve"> </w:t>
      </w:r>
      <w:r>
        <w:rPr>
          <w:rFonts w:ascii="微软雅黑" w:hAnsi="微软雅黑" w:eastAsia="微软雅黑" w:cs="微软雅黑"/>
          <w:spacing w:val="-10"/>
          <w:sz w:val="31"/>
          <w:szCs w:val="31"/>
        </w:rPr>
        <w:t>等</w:t>
      </w:r>
      <w:r>
        <w:rPr>
          <w:rFonts w:ascii="微软雅黑" w:hAnsi="微软雅黑" w:eastAsia="微软雅黑" w:cs="微软雅黑"/>
          <w:spacing w:val="-6"/>
          <w:sz w:val="31"/>
          <w:szCs w:val="31"/>
        </w:rPr>
        <w:t>法律法规，  以及相应食品安全标准。</w:t>
      </w:r>
    </w:p>
    <w:p>
      <w:pPr>
        <w:spacing w:before="1" w:line="207" w:lineRule="auto"/>
        <w:ind w:left="668"/>
        <w:rPr>
          <w:rFonts w:ascii="微软雅黑" w:hAnsi="微软雅黑" w:eastAsia="微软雅黑" w:cs="微软雅黑"/>
          <w:sz w:val="31"/>
          <w:szCs w:val="31"/>
        </w:rPr>
      </w:pPr>
      <w:r>
        <w:rPr>
          <w:rFonts w:ascii="仿宋" w:hAnsi="仿宋" w:eastAsia="仿宋" w:cs="仿宋"/>
          <w:spacing w:val="-14"/>
          <w:sz w:val="31"/>
          <w:szCs w:val="31"/>
        </w:rPr>
        <w:t>5</w:t>
      </w:r>
      <w:r>
        <w:rPr>
          <w:rFonts w:ascii="微软雅黑" w:hAnsi="微软雅黑" w:eastAsia="微软雅黑" w:cs="微软雅黑"/>
          <w:spacing w:val="-13"/>
          <w:sz w:val="31"/>
          <w:szCs w:val="31"/>
        </w:rPr>
        <w:t>．</w:t>
      </w:r>
      <w:r>
        <w:rPr>
          <w:rFonts w:ascii="微软雅黑" w:hAnsi="微软雅黑" w:eastAsia="微软雅黑" w:cs="微软雅黑"/>
          <w:spacing w:val="-7"/>
          <w:sz w:val="31"/>
          <w:szCs w:val="31"/>
        </w:rPr>
        <w:t xml:space="preserve">  法律法规规定的其他条件。</w:t>
      </w:r>
    </w:p>
    <w:p>
      <w:bookmarkStart w:id="0" w:name="_GoBack"/>
      <w:bookmarkEnd w:id="0"/>
    </w:p>
    <w:sectPr>
      <w:footerReference r:id="rId5" w:type="default"/>
      <w:pgSz w:w="11906" w:h="16838"/>
      <w:pgMar w:top="1383" w:right="1689" w:bottom="1383" w:left="1689" w:header="851" w:footer="992" w:gutter="0"/>
      <w:cols w:space="425" w:num="1"/>
      <w:docGrid w:type="lines" w:linePitch="312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spacing w:before="1" w:line="181" w:lineRule="auto"/>
      <w:ind w:right="320"/>
      <w:jc w:val="right"/>
      <w:rPr>
        <w:rFonts w:ascii="宋体" w:hAnsi="宋体" w:eastAsia="宋体" w:cs="宋体"/>
        <w:sz w:val="28"/>
        <w:szCs w:val="28"/>
      </w:rPr>
    </w:pPr>
    <w:r>
      <w:rPr>
        <w:rFonts w:ascii="宋体" w:hAnsi="宋体" w:eastAsia="宋体" w:cs="宋体"/>
        <w:spacing w:val="1"/>
        <w:sz w:val="28"/>
        <w:szCs w:val="28"/>
      </w:rPr>
      <w:t>—</w:t>
    </w:r>
    <w:r>
      <w:rPr>
        <w:rFonts w:ascii="宋体" w:hAnsi="宋体" w:eastAsia="宋体" w:cs="宋体"/>
        <w:sz w:val="28"/>
        <w:szCs w:val="28"/>
      </w:rPr>
      <w:t xml:space="preserve"> 7 —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line="240" w:lineRule="auto"/>
      </w:pPr>
      <w:r>
        <w:separator/>
      </w:r>
    </w:p>
  </w:footnote>
  <w:footnote w:type="continuationSeparator" w:id="1">
    <w:p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3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TBiNjA2Mzk5OGNjM2Y0ZmU0MGMzM2E3YjAzYThlNTUifQ=="/>
  </w:docVars>
  <w:rsids>
    <w:rsidRoot w:val="10B45E16"/>
    <w:rsid w:val="10B45E16"/>
    <w:rsid w:val="2C624BCB"/>
    <w:rsid w:val="4A1E7F2C"/>
    <w:rsid w:val="549332C4"/>
    <w:rsid w:val="76A571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semiHidden/>
    <w:qFormat/>
    <w:uiPriority w:val="0"/>
    <w:pPr>
      <w:kinsoku w:val="0"/>
      <w:autoSpaceDE w:val="0"/>
      <w:autoSpaceDN w:val="0"/>
      <w:adjustRightInd w:val="0"/>
      <w:snapToGrid w:val="0"/>
      <w:spacing w:line="240" w:lineRule="auto"/>
      <w:jc w:val="left"/>
      <w:textAlignment w:val="baseline"/>
    </w:pPr>
    <w:rPr>
      <w:rFonts w:ascii="Arial" w:hAnsi="Arial" w:eastAsia="Arial" w:cs="Arial"/>
      <w:snapToGrid w:val="0"/>
      <w:color w:val="000000"/>
      <w:kern w:val="0"/>
      <w:sz w:val="21"/>
      <w:szCs w:val="21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347</Words>
  <Characters>347</Characters>
  <Lines>0</Lines>
  <Paragraphs>0</Paragraphs>
  <TotalTime>0</TotalTime>
  <ScaleCrop>false</ScaleCrop>
  <LinksUpToDate>false</LinksUpToDate>
  <CharactersWithSpaces>383</CharactersWithSpaces>
  <Application>WPS Office_11.1.0.12975_F1E327BC-269C-435d-A152-05C5408002CA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2022-11-30T08:26:00Z</dcterms:created>
  <dc:creator>那些年，我们说好的幸福呢</dc:creator>
  <cp:lastModifiedBy>那些年，我们说好的幸福呢</cp:lastModifiedBy>
  <dcterms:modified xsi:type="dcterms:W3CDTF">2022-11-30T08:36:08Z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2052-11.1.0.12975</vt:lpwstr>
  </property>
  <property fmtid="{D5CDD505-2E9C-101B-9397-08002B2CF9AE}" pid="3" name="ICV">
    <vt:lpwstr>A61F3E9AF9194B94B932F013478755AF</vt:lpwstr>
  </property>
</Properties>
</file>